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1686F6">
      <w:pPr>
        <w:snapToGrid w:val="0"/>
        <w:spacing w:line="360" w:lineRule="auto"/>
        <w:ind w:firstLine="630" w:firstLineChars="196"/>
        <w:rPr>
          <w:rFonts w:ascii="宋体" w:hAnsi="宋体" w:eastAsia="宋体"/>
          <w:b/>
          <w:sz w:val="32"/>
          <w:szCs w:val="32"/>
        </w:rPr>
      </w:pPr>
    </w:p>
    <w:p w14:paraId="1B526BA0">
      <w:pPr>
        <w:snapToGrid w:val="0"/>
        <w:spacing w:line="360" w:lineRule="auto"/>
        <w:rPr>
          <w:rFonts w:ascii="仿宋" w:hAnsi="仿宋" w:eastAsia="仿宋"/>
          <w:b/>
          <w:szCs w:val="28"/>
        </w:rPr>
      </w:pPr>
      <w:r>
        <w:rPr>
          <w:rFonts w:hint="eastAsia" w:ascii="仿宋" w:hAnsi="仿宋" w:eastAsia="仿宋"/>
          <w:b/>
          <w:szCs w:val="28"/>
        </w:rPr>
        <w:t>附表1</w:t>
      </w:r>
    </w:p>
    <w:p w14:paraId="159842BA">
      <w:pPr>
        <w:snapToGrid w:val="0"/>
        <w:spacing w:line="360" w:lineRule="auto"/>
        <w:jc w:val="center"/>
        <w:rPr>
          <w:rFonts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7"/>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14:paraId="5BE2A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14:paraId="7B3DED9C">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3C8158A">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14:paraId="17FEB679">
            <w:pPr>
              <w:snapToGrid w:val="0"/>
              <w:spacing w:line="360" w:lineRule="auto"/>
              <w:rPr>
                <w:rFonts w:hint="default" w:ascii="宋体" w:hAnsi="宋体" w:eastAsia="宋体"/>
                <w:sz w:val="18"/>
                <w:szCs w:val="18"/>
                <w:lang w:val="en-US" w:eastAsia="zh-CN"/>
              </w:rPr>
            </w:pPr>
            <w:r>
              <w:rPr>
                <w:rFonts w:hint="default" w:ascii="宋体" w:hAnsi="宋体" w:eastAsia="宋体"/>
                <w:sz w:val="18"/>
                <w:szCs w:val="18"/>
                <w:lang w:val="en-US" w:eastAsia="zh-CN"/>
              </w:rPr>
              <w:t xml:space="preserve">建材产品使用说明书 </w:t>
            </w:r>
            <w:r>
              <w:rPr>
                <w:rFonts w:hint="eastAsia" w:ascii="宋体" w:hAnsi="宋体" w:eastAsia="宋体"/>
                <w:sz w:val="18"/>
                <w:szCs w:val="18"/>
                <w:lang w:val="en-US" w:eastAsia="zh-CN"/>
              </w:rPr>
              <w:t>抗菌抗病毒涂料</w:t>
            </w:r>
          </w:p>
        </w:tc>
        <w:tc>
          <w:tcPr>
            <w:tcW w:w="1843" w:type="dxa"/>
            <w:gridSpan w:val="2"/>
            <w:vAlign w:val="center"/>
          </w:tcPr>
          <w:p w14:paraId="299E92B1">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14:paraId="3C1BBF49">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14:paraId="2E70E175">
            <w:pPr>
              <w:snapToGrid w:val="0"/>
              <w:spacing w:line="360" w:lineRule="auto"/>
              <w:rPr>
                <w:rFonts w:ascii="宋体" w:hAnsi="宋体" w:eastAsia="宋体"/>
                <w:sz w:val="18"/>
                <w:szCs w:val="18"/>
              </w:rPr>
            </w:pPr>
            <w:r>
              <w:rPr>
                <w:rFonts w:hint="eastAsia" w:ascii="宋体" w:hAnsi="宋体" w:eastAsia="宋体"/>
                <w:sz w:val="18"/>
                <w:szCs w:val="18"/>
              </w:rPr>
              <w:t>Operating manual of building materials products—Antibacterial and antiviral coating</w:t>
            </w:r>
          </w:p>
        </w:tc>
      </w:tr>
      <w:tr w14:paraId="7FEAB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14:paraId="01F3B627">
            <w:pPr>
              <w:snapToGrid w:val="0"/>
              <w:spacing w:line="360" w:lineRule="auto"/>
              <w:jc w:val="center"/>
              <w:rPr>
                <w:rFonts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14:paraId="4F0AD6E4">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制定</w:t>
            </w:r>
          </w:p>
        </w:tc>
        <w:tc>
          <w:tcPr>
            <w:tcW w:w="1468" w:type="dxa"/>
            <w:gridSpan w:val="2"/>
            <w:vAlign w:val="center"/>
          </w:tcPr>
          <w:p w14:paraId="7693BC2D">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14:paraId="2B8ECAB2">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14:paraId="1695D9B2">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60BB6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5230C168">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14:paraId="3F783A4F">
            <w:pPr>
              <w:snapToGrid w:val="0"/>
              <w:spacing w:line="360" w:lineRule="auto"/>
              <w:rPr>
                <w:rFonts w:ascii="宋体" w:hAnsi="宋体" w:eastAsia="宋体"/>
                <w:sz w:val="18"/>
                <w:szCs w:val="18"/>
              </w:rPr>
            </w:pPr>
            <w:r>
              <w:rPr>
                <w:rFonts w:hint="eastAsia" w:ascii="宋体" w:hAnsi="宋体" w:eastAsia="宋体"/>
                <w:sz w:val="18"/>
                <w:szCs w:val="18"/>
              </w:rPr>
              <w:t>□ IDT</w:t>
            </w:r>
          </w:p>
        </w:tc>
        <w:tc>
          <w:tcPr>
            <w:tcW w:w="1080" w:type="dxa"/>
            <w:gridSpan w:val="2"/>
            <w:vAlign w:val="center"/>
          </w:tcPr>
          <w:p w14:paraId="53C5FCF1">
            <w:pPr>
              <w:snapToGrid w:val="0"/>
              <w:spacing w:line="360" w:lineRule="auto"/>
              <w:rPr>
                <w:rFonts w:ascii="宋体" w:hAnsi="宋体" w:eastAsia="宋体"/>
                <w:sz w:val="18"/>
                <w:szCs w:val="18"/>
              </w:rPr>
            </w:pPr>
            <w:r>
              <w:rPr>
                <w:rFonts w:hint="eastAsia" w:ascii="宋体" w:hAnsi="宋体" w:eastAsia="宋体"/>
                <w:sz w:val="18"/>
                <w:szCs w:val="18"/>
              </w:rPr>
              <w:t>□ MOD</w:t>
            </w:r>
          </w:p>
        </w:tc>
        <w:tc>
          <w:tcPr>
            <w:tcW w:w="928" w:type="dxa"/>
            <w:vAlign w:val="center"/>
          </w:tcPr>
          <w:p w14:paraId="02C4A625">
            <w:pPr>
              <w:snapToGrid w:val="0"/>
              <w:spacing w:line="360" w:lineRule="auto"/>
              <w:rPr>
                <w:rFonts w:ascii="宋体" w:hAnsi="宋体" w:eastAsia="宋体"/>
                <w:sz w:val="18"/>
                <w:szCs w:val="18"/>
              </w:rPr>
            </w:pPr>
            <w:r>
              <w:rPr>
                <w:rFonts w:hint="eastAsia" w:ascii="宋体" w:hAnsi="宋体" w:eastAsia="宋体"/>
                <w:sz w:val="18"/>
                <w:szCs w:val="18"/>
              </w:rPr>
              <w:t>□ NEQ</w:t>
            </w:r>
          </w:p>
        </w:tc>
        <w:tc>
          <w:tcPr>
            <w:tcW w:w="1843" w:type="dxa"/>
            <w:gridSpan w:val="2"/>
            <w:vAlign w:val="center"/>
          </w:tcPr>
          <w:p w14:paraId="052E639C">
            <w:pPr>
              <w:snapToGrid w:val="0"/>
              <w:spacing w:line="360" w:lineRule="auto"/>
              <w:jc w:val="center"/>
              <w:rPr>
                <w:rFonts w:ascii="宋体" w:hAnsi="宋体" w:eastAsia="宋体"/>
                <w:sz w:val="18"/>
                <w:szCs w:val="18"/>
              </w:rPr>
            </w:pPr>
            <w:r>
              <w:rPr>
                <w:rFonts w:hint="eastAsia" w:ascii="宋体" w:hAnsi="宋体" w:eastAsia="宋体"/>
                <w:sz w:val="18"/>
                <w:szCs w:val="18"/>
              </w:rPr>
              <w:t>采标号</w:t>
            </w:r>
          </w:p>
        </w:tc>
        <w:tc>
          <w:tcPr>
            <w:tcW w:w="2644" w:type="dxa"/>
            <w:gridSpan w:val="2"/>
            <w:vAlign w:val="center"/>
          </w:tcPr>
          <w:p w14:paraId="3C3603A4">
            <w:pPr>
              <w:snapToGrid w:val="0"/>
              <w:spacing w:line="360" w:lineRule="auto"/>
              <w:rPr>
                <w:rFonts w:hint="eastAsia" w:ascii="宋体" w:hAnsi="宋体" w:eastAsia="宋体"/>
                <w:sz w:val="18"/>
                <w:szCs w:val="18"/>
                <w:lang w:val="en-US" w:eastAsia="zh-CN"/>
              </w:rPr>
            </w:pPr>
            <w:r>
              <w:rPr>
                <w:rFonts w:hint="eastAsia" w:ascii="宋体" w:hAnsi="宋体" w:eastAsia="宋体"/>
                <w:sz w:val="18"/>
                <w:szCs w:val="18"/>
                <w:lang w:val="en-US" w:eastAsia="zh-CN"/>
              </w:rPr>
              <w:t>/</w:t>
            </w:r>
          </w:p>
        </w:tc>
      </w:tr>
      <w:tr w14:paraId="73A11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1D6D070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14:paraId="11170193">
            <w:pPr>
              <w:snapToGrid w:val="0"/>
              <w:spacing w:line="360" w:lineRule="auto"/>
              <w:rPr>
                <w:rFonts w:ascii="宋体" w:hAnsi="宋体" w:eastAsia="宋体"/>
                <w:sz w:val="18"/>
                <w:szCs w:val="18"/>
              </w:rPr>
            </w:pPr>
          </w:p>
        </w:tc>
        <w:tc>
          <w:tcPr>
            <w:tcW w:w="1843" w:type="dxa"/>
            <w:gridSpan w:val="2"/>
            <w:vAlign w:val="center"/>
          </w:tcPr>
          <w:p w14:paraId="4AB42558">
            <w:pPr>
              <w:snapToGrid w:val="0"/>
              <w:spacing w:line="360" w:lineRule="auto"/>
              <w:jc w:val="center"/>
              <w:rPr>
                <w:rFonts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14:paraId="59EBA5A0">
            <w:pPr>
              <w:snapToGrid w:val="0"/>
              <w:spacing w:line="360" w:lineRule="auto"/>
              <w:rPr>
                <w:rFonts w:ascii="宋体" w:hAnsi="宋体" w:eastAsia="宋体"/>
                <w:sz w:val="18"/>
                <w:szCs w:val="18"/>
              </w:rPr>
            </w:pPr>
          </w:p>
        </w:tc>
      </w:tr>
      <w:tr w14:paraId="045DA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14:paraId="7BCE70BF">
            <w:pPr>
              <w:snapToGrid w:val="0"/>
              <w:spacing w:line="360" w:lineRule="auto"/>
              <w:jc w:val="center"/>
              <w:rPr>
                <w:rFonts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14:paraId="3A57D82C">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91.100</w:t>
            </w:r>
            <w:r>
              <w:rPr>
                <w:rFonts w:hint="eastAsia" w:ascii="宋体" w:hAnsi="宋体" w:eastAsia="宋体"/>
                <w:sz w:val="18"/>
                <w:szCs w:val="18"/>
                <w:lang w:val="en-US" w:eastAsia="zh-CN"/>
              </w:rPr>
              <w:t>.01</w:t>
            </w:r>
          </w:p>
        </w:tc>
        <w:tc>
          <w:tcPr>
            <w:tcW w:w="1843" w:type="dxa"/>
            <w:gridSpan w:val="2"/>
            <w:vAlign w:val="center"/>
          </w:tcPr>
          <w:p w14:paraId="089A211D">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14:paraId="4D142586">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 xml:space="preserve">Q </w:t>
            </w:r>
            <w:r>
              <w:rPr>
                <w:rFonts w:hint="eastAsia" w:ascii="宋体" w:hAnsi="宋体" w:eastAsia="宋体"/>
                <w:sz w:val="18"/>
                <w:szCs w:val="18"/>
                <w:lang w:val="en-US" w:eastAsia="zh-CN"/>
              </w:rPr>
              <w:t>01</w:t>
            </w:r>
          </w:p>
        </w:tc>
      </w:tr>
      <w:tr w14:paraId="3C1E1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14:paraId="703AEE81">
            <w:pPr>
              <w:snapToGrid w:val="0"/>
              <w:spacing w:line="360" w:lineRule="auto"/>
              <w:jc w:val="center"/>
              <w:rPr>
                <w:rFonts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14:paraId="1F5DEFD9">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rPr>
              <w:t>中国建筑材料科学研究总院有限公司、</w:t>
            </w:r>
            <w:r>
              <w:rPr>
                <w:rFonts w:hint="eastAsia" w:ascii="宋体" w:hAnsi="宋体" w:eastAsia="宋体"/>
                <w:sz w:val="18"/>
                <w:szCs w:val="18"/>
                <w:lang w:val="en-US" w:eastAsia="zh-CN"/>
              </w:rPr>
              <w:t>三棵树涂料股份有限公司、山西玉竹新材料科技股份有限公司、</w:t>
            </w:r>
            <w:r>
              <w:rPr>
                <w:rFonts w:hint="eastAsia" w:ascii="宋体" w:hAnsi="宋体" w:eastAsia="宋体"/>
                <w:sz w:val="18"/>
                <w:szCs w:val="18"/>
              </w:rPr>
              <w:t>兰舍硅藻新材料有限公司</w:t>
            </w:r>
          </w:p>
        </w:tc>
        <w:tc>
          <w:tcPr>
            <w:tcW w:w="1843" w:type="dxa"/>
            <w:gridSpan w:val="2"/>
            <w:vAlign w:val="center"/>
          </w:tcPr>
          <w:p w14:paraId="6BFC40DC">
            <w:pPr>
              <w:snapToGrid w:val="0"/>
              <w:spacing w:line="360" w:lineRule="auto"/>
              <w:jc w:val="center"/>
              <w:rPr>
                <w:rFonts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14:paraId="12252B6E">
            <w:pPr>
              <w:snapToGrid w:val="0"/>
              <w:spacing w:line="360" w:lineRule="auto"/>
              <w:rPr>
                <w:rFonts w:hint="default" w:ascii="宋体" w:hAnsi="宋体" w:eastAsia="宋体"/>
                <w:sz w:val="18"/>
                <w:szCs w:val="18"/>
                <w:lang w:val="en-US" w:eastAsia="zh-CN"/>
              </w:rPr>
            </w:pPr>
            <w:r>
              <w:rPr>
                <w:rFonts w:hint="eastAsia" w:ascii="宋体" w:hAnsi="宋体" w:eastAsia="宋体"/>
                <w:sz w:val="18"/>
                <w:szCs w:val="18"/>
                <w:lang w:val="en-US" w:eastAsia="zh-CN"/>
              </w:rPr>
              <w:t>2026.6-2027.8</w:t>
            </w:r>
          </w:p>
        </w:tc>
      </w:tr>
      <w:tr w14:paraId="1A682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14:paraId="2ED5D36E">
            <w:pPr>
              <w:snapToGrid w:val="0"/>
              <w:spacing w:line="360" w:lineRule="auto"/>
              <w:jc w:val="center"/>
              <w:rPr>
                <w:rFonts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14:paraId="58062EF5">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14:paraId="58837E7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ascii="宋体" w:hAnsi="宋体" w:eastAsia="宋体"/>
                <w:sz w:val="18"/>
                <w:szCs w:val="18"/>
              </w:rPr>
            </w:pPr>
          </w:p>
          <w:p w14:paraId="539140C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sz w:val="18"/>
                <w:szCs w:val="18"/>
                <w:u w:val="single"/>
              </w:rPr>
            </w:pPr>
            <w:r>
              <w:rPr>
                <w:rFonts w:hint="eastAsia" w:ascii="宋体" w:hAnsi="宋体" w:eastAsia="宋体"/>
                <w:sz w:val="18"/>
                <w:szCs w:val="18"/>
                <w:u w:val="single"/>
              </w:rPr>
              <w:t>指出标准项目涉及的方面，期望解决的问题；</w:t>
            </w:r>
          </w:p>
          <w:p w14:paraId="15A04B8E">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当前，室内空气质量已成为影响公众健康的重要因素。甲醛、挥发性有机化合物（VOCs）等化学污染物以及细菌、霉菌、病毒等微生物污染，被证实与呼吸系统疾病、过敏反应、传染病传播密切相关。随着消费者对健康居住环境需求的提升，市场上涌现出大量宣称具有“净醛”“抗菌”“防霉”“抗病毒”等功能的乳胶漆产品。然而，这些产品的使用说明书普遍存在功能表述模糊、检测依据缺失、量化指标不标注、安全警示不足、功能有效期不明等问题，导致用户无法正确理解和选用产品，甚至因错误使用而延误污染治理或引发健康风险。现行《建材产品使用说明书通用要求》（JC/T 2971—2026）提供了宏观框架，但未能针对防治化学与微生物污染这类特殊功能产品提出细化要求。因此，制定专门的使用说明书标准，对规范市场、保护消费者权益、促进行业技术进步具有紧迫而重要的现实意义。</w:t>
            </w:r>
          </w:p>
          <w:p w14:paraId="1614B9FA">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围绕“防治室内化学与微生物污染的乳胶漆”这一特定产品类别，对其使用说明书的编制提出了系统性要求。具体涉及以下方面：一是产品功能分类与定义，明确化学污染物净化（如甲醛净化）、抗菌、抗霉菌、抗病毒等不同功能类型及其术语定义；二是功能性能的标注要求，包括检测依据的标准、检测结果（如净化效率、抗菌率、耐霉等级）以及检测条件的说明；三是产品成分信息的披露，特别是功能组分的类型（如甲醛捕捉剂、银系抗菌剂、光催化材料等）及其潜在的健康影响；四是安全特性与警示要求，针对可能引起过敏或刺激的成分设置显著警示；五是功能活性有效期及产品保质期的分别标注，指导用户在有效期内使用；六是施工与养护过程中的特殊注意事项，例如避免破坏功能性涂层的操作；七是废弃处置的环境要求；八是生产者信息及售后服务内容。通过这些方面的规范，使说明书真正成为用户正确使用产品、发挥污染防护功能的技术依据。</w:t>
            </w:r>
          </w:p>
          <w:p w14:paraId="35A1687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的制定旨在系统解决当前市场上该类产品使用说明书存在的突出问题。第一，解决功能宣称“夸大误导”问题。部分产品标榜“零甲醛”“彻底抗菌”等绝对化用语，却无法提供检测证明。本标准要求所有功能宣称必须基于经认可的检测标准，并标注具体量化指标及检测条件，杜绝虚假宣传。第二，解决“功能无法追溯”问题。用户无法从说明书中获知产品针对哪些污染物或微生物种类、效果能维持多久。本标准强制要求按功能分别标注目标物（如金黄色葡萄球菌、甲型流感病毒）、抗菌率及功能活性有效期，使性能可验证、可追溯。第三，解决“使用安全隐患”问题。功能性乳胶漆中可能添加纳米材料、有机抗菌剂等成分，对敏感人群存在潜在致敏或刺激性风险，但现有说明书普遍忽略。本标准要求显著标注安全警告、防护措施和意外处置方法，保护施工人员和使用者健康。第四，解决“功能发挥受阻”问题。用户因不了解涂层养护要求（如用消毒剂擦洗会破坏抗菌层），导致产品功能失效。本标准规定须提供养护期内维持功能的特别注意事项，确保产品实际效果。第五，解决“标准衔接缺失”问题。现有有害物质限量标准（GB 30981.1）和功能检测标准（JC/T 1074、HG/T 3950等）已相对完善，但缺少将这些技术指标转化为用户可读信息的桥梁。本标准正好填补这一空白，使检测数据与用户指导相贯通。</w:t>
            </w:r>
          </w:p>
          <w:p w14:paraId="2FFE899D">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本标准的发布实施将产生显著的积极效果。对于消费者，能够获得清晰、真实、可比较的产品信息，科学选购并正确使用污染防护乳胶漆，有效改善室内环境质量，降低健康风险。对于生产企业，统一规范的说明书编写要求有利于优质产品脱颖而出，遏制不正当竞争，推动行业从“概念炒作”转向“技术实力”的良性发展。对于监管部门和检测机构，标准提供了明确的符合性判定依据，便于市场监督和产品质量抽查。此外，本标准还融入了低碳、节能、废弃物环保处置等内容，呼应了绿色建材和可持续发展的政策导向。综上，立项制定《建材产品使用说明书 防治室内化学与微生物污染的乳胶漆》标准，是完善我国建材产品说明书标准体系、保障民生健康、促进产业升级的必要举措，具有充分的目的、显著的意义和迫切的需要。</w:t>
            </w:r>
          </w:p>
          <w:p w14:paraId="6BF2A528">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firstLine="360" w:firstLineChars="200"/>
              <w:textAlignment w:val="auto"/>
              <w:rPr>
                <w:rFonts w:hint="eastAsia" w:ascii="宋体" w:hAnsi="宋体" w:eastAsia="宋体" w:cs="宋体"/>
                <w:b w:val="0"/>
                <w:bCs w:val="0"/>
                <w:sz w:val="18"/>
                <w:szCs w:val="18"/>
                <w:lang w:val="en-US" w:eastAsia="zh-CN"/>
              </w:rPr>
            </w:pPr>
          </w:p>
        </w:tc>
      </w:tr>
      <w:tr w14:paraId="78B3E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8" w:hRule="atLeast"/>
          <w:jc w:val="center"/>
        </w:trPr>
        <w:tc>
          <w:tcPr>
            <w:tcW w:w="2167" w:type="dxa"/>
            <w:vAlign w:val="center"/>
          </w:tcPr>
          <w:p w14:paraId="2016E5C4">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14:paraId="7787D5AE">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14:paraId="15FE3369">
            <w:pPr>
              <w:snapToGrid w:val="0"/>
              <w:spacing w:line="360" w:lineRule="auto"/>
              <w:ind w:firstLine="360" w:firstLineChars="200"/>
              <w:rPr>
                <w:rFonts w:hint="eastAsia" w:ascii="宋体" w:hAnsi="宋体" w:eastAsia="宋体"/>
                <w:sz w:val="18"/>
                <w:szCs w:val="18"/>
                <w:u w:val="single"/>
              </w:rPr>
            </w:pPr>
            <w:r>
              <w:rPr>
                <w:rFonts w:hint="eastAsia" w:ascii="宋体" w:hAnsi="宋体" w:eastAsia="宋体"/>
                <w:sz w:val="18"/>
                <w:szCs w:val="18"/>
                <w:u w:val="single"/>
              </w:rPr>
              <w:t>标准的技术内容与适用范围；</w:t>
            </w:r>
          </w:p>
          <w:p w14:paraId="0F918093">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本文件规定了</w:t>
            </w:r>
            <w:r>
              <w:rPr>
                <w:rFonts w:hint="eastAsia" w:ascii="宋体" w:hAnsi="宋体" w:eastAsia="宋体"/>
                <w:sz w:val="18"/>
                <w:szCs w:val="18"/>
                <w:u w:val="none"/>
                <w:lang w:val="en-US" w:eastAsia="zh-CN"/>
              </w:rPr>
              <w:t>抗菌抗病毒涂料</w:t>
            </w:r>
            <w:r>
              <w:rPr>
                <w:rFonts w:hint="eastAsia" w:ascii="宋体" w:hAnsi="宋体" w:eastAsia="宋体"/>
                <w:sz w:val="18"/>
                <w:szCs w:val="18"/>
                <w:u w:val="none"/>
                <w:lang w:eastAsia="zh-CN"/>
              </w:rPr>
              <w:t>产品使用说明书的基本要求、编制要求、主要构成和编写示例。</w:t>
            </w:r>
          </w:p>
          <w:p w14:paraId="0F905F19">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eastAsia="zh-CN"/>
              </w:rPr>
            </w:pPr>
            <w:r>
              <w:rPr>
                <w:rFonts w:hint="eastAsia" w:ascii="宋体" w:hAnsi="宋体" w:eastAsia="宋体"/>
                <w:sz w:val="18"/>
                <w:szCs w:val="18"/>
                <w:u w:val="none"/>
                <w:lang w:eastAsia="zh-CN"/>
              </w:rPr>
              <w:t>本文件适用于具有</w:t>
            </w:r>
            <w:r>
              <w:rPr>
                <w:rFonts w:hint="eastAsia" w:ascii="宋体" w:hAnsi="宋体" w:eastAsia="宋体"/>
                <w:sz w:val="18"/>
                <w:szCs w:val="18"/>
                <w:u w:val="none"/>
                <w:lang w:val="en-US" w:eastAsia="zh-CN"/>
              </w:rPr>
              <w:t>净化</w:t>
            </w:r>
            <w:r>
              <w:rPr>
                <w:rFonts w:hint="eastAsia" w:ascii="宋体" w:hAnsi="宋体" w:eastAsia="宋体"/>
                <w:sz w:val="18"/>
                <w:szCs w:val="18"/>
                <w:u w:val="none"/>
                <w:lang w:eastAsia="zh-CN"/>
              </w:rPr>
              <w:t>室内甲醛、挥发性有机化合物（VOCs）等化学污染物及/或具有抑制（杀灭）细菌、霉菌、病毒等微生物功能的乳胶</w:t>
            </w:r>
            <w:r>
              <w:rPr>
                <w:rFonts w:hint="eastAsia" w:ascii="宋体" w:hAnsi="宋体" w:eastAsia="宋体"/>
                <w:sz w:val="18"/>
                <w:szCs w:val="18"/>
                <w:u w:val="none"/>
                <w:lang w:val="en-US" w:eastAsia="zh-CN"/>
              </w:rPr>
              <w:t>涂料</w:t>
            </w:r>
            <w:r>
              <w:rPr>
                <w:rFonts w:hint="eastAsia" w:ascii="宋体" w:hAnsi="宋体" w:eastAsia="宋体"/>
                <w:sz w:val="18"/>
                <w:szCs w:val="18"/>
                <w:u w:val="none"/>
                <w:lang w:eastAsia="zh-CN"/>
              </w:rPr>
              <w:t>产品使用说明书的编写。其他具有类似污染防护功能的墙面涂覆材料使用说明书的编写可参照使用。</w:t>
            </w:r>
          </w:p>
          <w:p w14:paraId="18D2402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r>
              <w:rPr>
                <w:rFonts w:hint="eastAsia" w:ascii="宋体" w:hAnsi="宋体" w:eastAsia="宋体"/>
                <w:sz w:val="18"/>
                <w:szCs w:val="18"/>
                <w:u w:val="none"/>
                <w:lang w:val="en-US" w:eastAsia="zh-CN"/>
              </w:rPr>
              <w:t>术语和定义：抗菌抗病毒涂料、甲醛净化性能、抗菌性能 、抗病毒性能 、抗霉菌性能等定义。</w:t>
            </w:r>
          </w:p>
          <w:p w14:paraId="63EF80D8">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基本要求</w:t>
            </w:r>
          </w:p>
          <w:p w14:paraId="3BC3DB40">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制要求：说明书中关于产品污染防护功能的文字表述应基于经认可的检测报告或第三方认证结果，不应使用“零甲醛”“绝对抗菌”等绝对化用语。说明书中涉及化学污染物净化效率、抗菌率等量化指标时，应在括号内注明检测方法和检测条件，例如“甲醛净化效率≥85%（依据JC/T 1074，24h）”。说明书中安全警告内容涉及功能组分可能引起的过敏反应或刺激性时，应采用本文件 规定的方式（较大字号、不同字体、特殊符号、不同颜色）显著突出。对宣称多重防护功能（如兼具净化甲醛与抗菌功能）的产品，说明书中应按功能分别标注，不得混淆或合并表述导致用户对功能产生误解。电子说明书如包含功能演示视频，应确保视频内容真实反映产品在典型使用条件下的实际效果，不应使用仿真特效或误导性对比。</w:t>
            </w:r>
          </w:p>
          <w:p w14:paraId="1C0622DF">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主要构成：标题、标识、版本号和发布日期、主题内容、生产日期等。</w:t>
            </w:r>
          </w:p>
          <w:p w14:paraId="1124F4C2">
            <w:pPr>
              <w:keepNext w:val="0"/>
              <w:keepLines w:val="0"/>
              <w:pageBreakBefore w:val="0"/>
              <w:widowControl/>
              <w:numPr>
                <w:ilvl w:val="0"/>
                <w:numId w:val="3"/>
              </w:numPr>
              <w:kinsoku/>
              <w:wordWrap/>
              <w:overflowPunct/>
              <w:topLinePunct w:val="0"/>
              <w:autoSpaceDE/>
              <w:autoSpaceDN/>
              <w:bidi w:val="0"/>
              <w:adjustRightInd/>
              <w:snapToGrid w:val="0"/>
              <w:spacing w:line="360" w:lineRule="auto"/>
              <w:ind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编写示例</w:t>
            </w:r>
          </w:p>
          <w:p w14:paraId="23024652">
            <w:pPr>
              <w:keepNext w:val="0"/>
              <w:keepLines w:val="0"/>
              <w:pageBreakBefore w:val="0"/>
              <w:widowControl/>
              <w:kinsoku/>
              <w:wordWrap/>
              <w:overflowPunct/>
              <w:topLinePunct w:val="0"/>
              <w:autoSpaceDE/>
              <w:autoSpaceDN/>
              <w:bidi w:val="0"/>
              <w:adjustRightInd/>
              <w:snapToGrid w:val="0"/>
              <w:spacing w:line="360" w:lineRule="auto"/>
              <w:ind w:firstLine="360" w:firstLineChars="200"/>
              <w:textAlignment w:val="auto"/>
              <w:rPr>
                <w:rFonts w:hint="eastAsia" w:ascii="宋体" w:hAnsi="宋体" w:eastAsia="宋体"/>
                <w:sz w:val="18"/>
                <w:szCs w:val="18"/>
                <w:u w:val="none"/>
                <w:lang w:val="en-US" w:eastAsia="zh-CN"/>
              </w:rPr>
            </w:pPr>
          </w:p>
        </w:tc>
      </w:tr>
      <w:tr w14:paraId="35163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2167" w:type="dxa"/>
            <w:vAlign w:val="center"/>
          </w:tcPr>
          <w:p w14:paraId="7D419C19">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14:paraId="091F2DE0">
            <w:pPr>
              <w:snapToGrid w:val="0"/>
              <w:spacing w:line="360" w:lineRule="auto"/>
              <w:jc w:val="center"/>
              <w:rPr>
                <w:rFonts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14:paraId="27686E47">
            <w:pPr>
              <w:numPr>
                <w:ilvl w:val="0"/>
                <w:numId w:val="4"/>
              </w:numPr>
              <w:snapToGrid w:val="0"/>
              <w:spacing w:line="360" w:lineRule="auto"/>
              <w:rPr>
                <w:rFonts w:hint="eastAsia" w:ascii="宋体" w:hAnsi="宋体" w:eastAsia="宋体"/>
                <w:b/>
                <w:bCs/>
                <w:sz w:val="18"/>
                <w:szCs w:val="18"/>
              </w:rPr>
            </w:pPr>
            <w:r>
              <w:rPr>
                <w:rFonts w:hint="eastAsia" w:ascii="宋体" w:hAnsi="宋体" w:eastAsia="宋体"/>
                <w:b/>
                <w:bCs/>
                <w:sz w:val="18"/>
                <w:szCs w:val="18"/>
                <w:u w:val="single"/>
              </w:rPr>
              <w:t>国内外对该技术研究情况简要说明：</w:t>
            </w:r>
            <w:r>
              <w:rPr>
                <w:rFonts w:hint="eastAsia" w:ascii="宋体" w:hAnsi="宋体" w:eastAsia="宋体"/>
                <w:b/>
                <w:bCs/>
                <w:sz w:val="18"/>
                <w:szCs w:val="18"/>
              </w:rPr>
              <w:t>国内外对该技术研究情况、进程及未来的发展；该技术是否相对稳定，如果不是的话，预计一下技术未来稳定的时间，提出的标准项目是否可作为未来技术发展的基础；</w:t>
            </w:r>
          </w:p>
          <w:p w14:paraId="0CED20CE">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firstLine="361" w:firstLineChars="200"/>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国内技术现状</w:t>
            </w:r>
          </w:p>
          <w:p w14:paraId="7A81EF5E">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firstLine="360" w:firstLineChars="200"/>
              <w:textAlignment w:val="auto"/>
              <w:rPr>
                <w:rFonts w:hint="eastAsia" w:ascii="宋体" w:hAnsi="宋体" w:eastAsia="宋体" w:cs="宋体"/>
                <w:sz w:val="18"/>
                <w:szCs w:val="18"/>
                <w:u w:val="none"/>
                <w:lang w:val="en-US" w:eastAsia="zh-CN"/>
              </w:rPr>
            </w:pPr>
            <w:r>
              <w:rPr>
                <w:rFonts w:hint="eastAsia" w:ascii="宋体" w:hAnsi="宋体" w:eastAsia="宋体" w:cs="宋体"/>
                <w:sz w:val="18"/>
                <w:szCs w:val="18"/>
                <w:u w:val="none"/>
                <w:lang w:val="en-US" w:eastAsia="zh-CN"/>
              </w:rPr>
              <w:t>抗菌抗病毒乳胶涂料是功能涂料领域近年来发展最为活跃的方向之一。从化学污染净化来看，主要技术路线包括物理吸附（如活性炭、硅藻土等多孔材料吸附）与催化分解（如纳米二氧化钛光催化分解甲醛、VOCs等）。近年来，我国在该领域取得重要突破—，立邦、三棵树等乳胶涂料对甲醛净化性能超过90%，紫外老化1000h性能衰减低于30%，6小时内对大肠杆菌、金黄色葡萄球菌、流感病毒的杀灭率均不低于99%。在产业化技术层面，通过优化复合配方可实现甲醛去除率高达95.7%，同时保持优异的流平性、耐洗刷性和耐老化性。从微生物污染防护来看，我国已形成涵盖纳米银离子型、季铵盐型、光催化型等多种作用机理的产品体系，2025年功能性内墙涂料增速达18.3%，抗菌涂料（抑菌率≥99%）已成为高端住宅标配。2024年全球净醛生态漆市场规模约为20.03亿美元，预计2031年将达29.11亿美元，年复合增长率为6.1%；全球抗菌抗病毒涂料市场2025年估值约为10.8亿美元，预计2032年将增长至22.5亿美元，年复合增长率达10.97%。从产业格局来看，全球建筑涂料市场中亚太地区贡献率超过40%，中国已成为全球最大的功能性涂料生产和消费市场之一。</w:t>
            </w:r>
          </w:p>
          <w:p w14:paraId="7D52A6D2">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361" w:firstLineChars="200"/>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国际技术现状</w:t>
            </w:r>
          </w:p>
          <w:p w14:paraId="05EF783D">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left"/>
              <w:textAlignment w:val="auto"/>
              <w:rPr>
                <w:rFonts w:hint="eastAsia"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在国际层面，ISO在空气净化功能材料的检测方面已有较为系统的布局。ISO 17168-4:2025《室内照明环境下半导体光催化材料空气净化性能试验方法 第4部分：甲醛去除》为光催化空气净化材料的性能评价提供了国际统一的测试方法，适用于含有光催化剂或表面具有光催化膜的建材产品。此外，ISO 16000-23和ISO 16000-3等系列标准则为室内空气中有害物质的检测提供了方法依据。在微生物防护方面，ISO 22196等标准规范了材料表面抗菌性能的测定方法。然而，需要指出的是，目前国际上尚未有专门针对“</w:t>
            </w:r>
            <w:r>
              <w:rPr>
                <w:rFonts w:hint="eastAsia" w:ascii="宋体" w:hAnsi="宋体" w:eastAsia="宋体" w:cs="宋体"/>
                <w:sz w:val="18"/>
                <w:szCs w:val="18"/>
                <w:u w:val="none"/>
                <w:lang w:val="en-US" w:eastAsia="zh-CN"/>
              </w:rPr>
              <w:t>抗菌抗病毒涂料</w:t>
            </w:r>
            <w:r>
              <w:rPr>
                <w:rFonts w:hint="default" w:ascii="宋体" w:hAnsi="宋体" w:eastAsia="宋体" w:cs="宋体"/>
                <w:sz w:val="18"/>
                <w:szCs w:val="18"/>
                <w:u w:val="none"/>
                <w:lang w:val="en-US" w:eastAsia="zh-CN"/>
              </w:rPr>
              <w:t>”产品使用说明书的统一标准，现有国际标准主要集中在性能检测方法的层面，如何将这些检测数据转化为易于用户理解和安全操作的产品使用说明，在全球范围内仍属空白领域</w:t>
            </w:r>
            <w:r>
              <w:rPr>
                <w:rFonts w:hint="eastAsia" w:ascii="宋体" w:hAnsi="宋体" w:eastAsia="宋体" w:cs="宋体"/>
                <w:sz w:val="18"/>
                <w:szCs w:val="18"/>
                <w:u w:val="none"/>
                <w:lang w:val="en-US" w:eastAsia="zh-CN"/>
              </w:rPr>
              <w:t>。</w:t>
            </w:r>
          </w:p>
          <w:p w14:paraId="27A01522">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361" w:firstLineChars="200"/>
              <w:jc w:val="left"/>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技术成熟度与稳定性判断</w:t>
            </w:r>
          </w:p>
          <w:p w14:paraId="2EC3C032">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本技术方向已整体进入相对稳定阶段，具备标准化条件。首先，在检测方法方面，我国已建立了较为完善的性能评价体系：JC/T 1074《室内空气净化功能涂覆材料净化性能》规定了甲醛净化效率及净化持久性等指标的检测方法；HG/T 3950-2025《抗菌和抗病毒涂料》和GB/T 21866-2025《涂膜抗病毒活性和抗菌性测定法》于2025年同步完成修订，已于2026年2月至3月陆续实施，共同构建起我国抗菌抗病毒涂料领域“产品性能+检测方法”的双重规范，标志着行业正式迈入标准化、高质量发展的新阶段。其次，在基础标准方面，GB/T 9755《合成树脂乳液墙面涂料》（2024年修订整合内墙涂料标准）、GB 30981.1《涂料中有害物质限量 第1部分：建筑涂料》（2025年版，2026年6月1日实施）等已为乳胶漆的基础性能和有害物质限量提供了规范。这些上下游标准的相继出台或更新，为</w:t>
            </w:r>
            <w:r>
              <w:rPr>
                <w:rFonts w:hint="eastAsia" w:ascii="宋体" w:hAnsi="宋体" w:eastAsia="宋体" w:cs="宋体"/>
                <w:sz w:val="18"/>
                <w:szCs w:val="18"/>
                <w:u w:val="none"/>
                <w:lang w:val="en-US" w:eastAsia="zh-CN"/>
              </w:rPr>
              <w:t>抗菌抗病毒涂料</w:t>
            </w:r>
            <w:r>
              <w:rPr>
                <w:rFonts w:hint="default" w:ascii="宋体" w:hAnsi="宋体" w:eastAsia="宋体" w:cs="宋体"/>
                <w:sz w:val="18"/>
                <w:szCs w:val="18"/>
                <w:u w:val="none"/>
                <w:lang w:val="en-US" w:eastAsia="zh-CN"/>
              </w:rPr>
              <w:t>产品使用说明书标准的制定提供了坚实的技术基础。</w:t>
            </w:r>
          </w:p>
          <w:p w14:paraId="4BEB8CD6">
            <w:pPr>
              <w:keepNext w:val="0"/>
              <w:keepLines w:val="0"/>
              <w:pageBreakBefore w:val="0"/>
              <w:widowControl w:val="0"/>
              <w:numPr>
                <w:ilvl w:val="0"/>
                <w:numId w:val="5"/>
              </w:numPr>
              <w:kinsoku/>
              <w:wordWrap/>
              <w:overflowPunct/>
              <w:topLinePunct w:val="0"/>
              <w:autoSpaceDE/>
              <w:autoSpaceDN/>
              <w:bidi w:val="0"/>
              <w:adjustRightInd/>
              <w:snapToGrid/>
              <w:spacing w:line="280" w:lineRule="exact"/>
              <w:ind w:left="0" w:leftChars="0" w:firstLine="361" w:firstLineChars="200"/>
              <w:jc w:val="both"/>
              <w:textAlignment w:val="auto"/>
              <w:rPr>
                <w:rFonts w:hint="eastAsia" w:ascii="宋体" w:hAnsi="宋体" w:eastAsia="宋体" w:cs="宋体"/>
                <w:b/>
                <w:bCs/>
                <w:sz w:val="18"/>
                <w:szCs w:val="18"/>
                <w:u w:val="none"/>
                <w:lang w:val="en-US" w:eastAsia="zh-CN"/>
              </w:rPr>
            </w:pPr>
            <w:r>
              <w:rPr>
                <w:rFonts w:hint="eastAsia" w:ascii="宋体" w:hAnsi="宋体" w:eastAsia="宋体" w:cs="宋体"/>
                <w:b/>
                <w:bCs/>
                <w:sz w:val="18"/>
                <w:szCs w:val="18"/>
                <w:u w:val="none"/>
                <w:lang w:val="en-US" w:eastAsia="zh-CN"/>
              </w:rPr>
              <w:t>技术发展趋势与标准定位</w:t>
            </w:r>
          </w:p>
          <w:p w14:paraId="79DC321E">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r>
              <w:rPr>
                <w:rFonts w:hint="default" w:ascii="宋体" w:hAnsi="宋体" w:eastAsia="宋体" w:cs="宋体"/>
                <w:sz w:val="18"/>
                <w:szCs w:val="18"/>
                <w:u w:val="none"/>
                <w:lang w:val="en-US" w:eastAsia="zh-CN"/>
              </w:rPr>
              <w:t>尽管核心技术已相对成熟，但功能材料的性能和种类仍在持续演进：纳米复合材料因其高比表面积和多功能整合特性，正成为对抗空气污染与微生物威胁的重要技术平台；部分研发已实现自然光和低光照条件下的高效净化，对甲醛、TVOC等有害气体的去除率分别达到90%和95%以上；在“好房子”建设和绿色建筑评价标准升级的政策驱动下，光催化自洁涂料和抗菌涂料正加速从高端市场的选配产品向标配产品转变。在此背景下，生产企业持续推进产品迭代升级的趋势不会改变，但产品使用说明书作为连接产品技术与用户应用的核心纽带，其基本内容和编制要求具有较强的稳定性。本标准定位于指导用户正确使用产品、发挥污染防护功能，不限定某一具体技术路线或配方，具有较强的技术包容性和前瞻性。因此，本标准提出的框架和要求完全可作为未来技术发展的基础，既指导当下，也为新技术、新功能的引入预留了空间，体现了“基础规范、开放兼容”的编制原则。</w:t>
            </w:r>
          </w:p>
          <w:p w14:paraId="19FB96DF">
            <w:pPr>
              <w:keepNext w:val="0"/>
              <w:keepLines w:val="0"/>
              <w:pageBreakBefore w:val="0"/>
              <w:widowControl w:val="0"/>
              <w:numPr>
                <w:ilvl w:val="0"/>
                <w:numId w:val="0"/>
              </w:numPr>
              <w:kinsoku/>
              <w:wordWrap/>
              <w:overflowPunct/>
              <w:topLinePunct w:val="0"/>
              <w:autoSpaceDE/>
              <w:autoSpaceDN/>
              <w:bidi w:val="0"/>
              <w:adjustRightInd/>
              <w:snapToGrid/>
              <w:spacing w:line="280" w:lineRule="exact"/>
              <w:ind w:leftChars="0" w:firstLine="360" w:firstLineChars="200"/>
              <w:jc w:val="both"/>
              <w:textAlignment w:val="auto"/>
              <w:rPr>
                <w:rFonts w:hint="default" w:ascii="宋体" w:hAnsi="宋体" w:eastAsia="宋体" w:cs="宋体"/>
                <w:sz w:val="18"/>
                <w:szCs w:val="18"/>
                <w:u w:val="none"/>
                <w:lang w:val="en-US" w:eastAsia="zh-CN"/>
              </w:rPr>
            </w:pPr>
          </w:p>
          <w:p w14:paraId="45C3C6FD">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sz w:val="18"/>
                <w:szCs w:val="18"/>
                <w:u w:val="single"/>
              </w:rPr>
              <w:t>项目与国际标准或国外先进标准采用程度的考虑：</w:t>
            </w:r>
            <w:r>
              <w:rPr>
                <w:rFonts w:hint="eastAsia" w:ascii="宋体" w:hAnsi="宋体" w:eastAsia="宋体"/>
                <w:b/>
                <w:bCs/>
                <w:sz w:val="18"/>
                <w:szCs w:val="18"/>
              </w:rPr>
              <w:t>该标准项目是否有对应的国际标准或国外先进标</w:t>
            </w:r>
            <w:r>
              <w:rPr>
                <w:rFonts w:hint="eastAsia" w:ascii="宋体" w:hAnsi="宋体" w:eastAsia="宋体"/>
                <w:b/>
                <w:bCs/>
                <w:color w:val="auto"/>
                <w:sz w:val="18"/>
                <w:szCs w:val="18"/>
              </w:rPr>
              <w:t>准，标准制定过程中如何考虑采用的问题；</w:t>
            </w:r>
          </w:p>
          <w:p w14:paraId="128DD10E">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color w:val="auto"/>
                <w:sz w:val="18"/>
                <w:szCs w:val="18"/>
                <w:lang w:val="en-US" w:eastAsia="zh-CN"/>
              </w:rPr>
            </w:pPr>
            <w:r>
              <w:rPr>
                <w:rFonts w:hint="eastAsia" w:ascii="宋体" w:hAnsi="宋体" w:eastAsia="宋体"/>
                <w:color w:val="auto"/>
                <w:sz w:val="18"/>
                <w:szCs w:val="18"/>
                <w:lang w:val="en-US" w:eastAsia="zh-CN"/>
              </w:rPr>
              <w:t>经查，该标准没有对应的国际标准，故本项目不涉及采用国际或国外先进标准的问题。</w:t>
            </w:r>
          </w:p>
          <w:p w14:paraId="73C4210E">
            <w:pPr>
              <w:numPr>
                <w:ilvl w:val="0"/>
                <w:numId w:val="4"/>
              </w:numPr>
              <w:snapToGrid w:val="0"/>
              <w:spacing w:line="360" w:lineRule="auto"/>
              <w:ind w:left="0" w:leftChars="0" w:firstLine="0" w:firstLineChars="0"/>
              <w:rPr>
                <w:rFonts w:hint="eastAsia" w:ascii="宋体" w:hAnsi="宋体" w:eastAsia="宋体"/>
                <w:b/>
                <w:bCs/>
                <w:color w:val="auto"/>
                <w:sz w:val="18"/>
                <w:szCs w:val="18"/>
              </w:rPr>
            </w:pPr>
            <w:r>
              <w:rPr>
                <w:rFonts w:hint="eastAsia" w:ascii="宋体" w:hAnsi="宋体" w:eastAsia="宋体"/>
                <w:b/>
                <w:bCs/>
                <w:color w:val="auto"/>
                <w:sz w:val="18"/>
                <w:szCs w:val="18"/>
                <w:u w:val="single"/>
              </w:rPr>
              <w:t>与国内相关标准间的关系：</w:t>
            </w:r>
            <w:r>
              <w:rPr>
                <w:rFonts w:hint="eastAsia" w:ascii="宋体" w:hAnsi="宋体" w:eastAsia="宋体"/>
                <w:b/>
                <w:bCs/>
                <w:color w:val="auto"/>
                <w:sz w:val="18"/>
                <w:szCs w:val="18"/>
              </w:rPr>
              <w:t>该标准项目是否有相关的国家或行业标准，该标准项目与这些标准是什么关系，该标准项目在标准体系中的位置；</w:t>
            </w:r>
          </w:p>
          <w:p w14:paraId="7FB6AF2B">
            <w:pPr>
              <w:keepNext w:val="0"/>
              <w:keepLines w:val="0"/>
              <w:pageBreakBefore w:val="0"/>
              <w:widowControl w:val="0"/>
              <w:numPr>
                <w:ilvl w:val="0"/>
                <w:numId w:val="6"/>
              </w:numPr>
              <w:kinsoku/>
              <w:wordWrap/>
              <w:overflowPunct/>
              <w:topLinePunct w:val="0"/>
              <w:autoSpaceDE/>
              <w:autoSpaceDN/>
              <w:bidi w:val="0"/>
              <w:adjustRightInd/>
              <w:snapToGrid w:val="0"/>
              <w:spacing w:line="280" w:lineRule="exact"/>
              <w:ind w:leftChars="0" w:firstLine="361" w:firstLineChars="200"/>
              <w:textAlignment w:val="auto"/>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现有相关标准梳理</w:t>
            </w:r>
          </w:p>
          <w:p w14:paraId="0CCF948E">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与本标准相关的现行国家及行业标准主要包括以下几类。</w:t>
            </w:r>
          </w:p>
          <w:p w14:paraId="0D304645">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在产品标准层面，GB/T 9755—2024《合成树脂乳液墙面涂料》于2025年6月1日实施，规定了墙面涂料的产品分类、技术要求、试验方法等基础性能指标，是乳胶漆产品最核心的产品标准。</w:t>
            </w:r>
            <w:r>
              <w:rPr>
                <w:rFonts w:hint="eastAsia" w:ascii="宋体" w:hAnsi="宋体" w:eastAsia="宋体"/>
                <w:sz w:val="18"/>
                <w:szCs w:val="18"/>
                <w:lang w:val="en-US" w:eastAsia="zh-CN"/>
              </w:rPr>
              <w:t>HG/T 3950-2025《抗菌和抗病毒涂料》，是抗菌抗病毒涂料</w:t>
            </w:r>
            <w:r>
              <w:rPr>
                <w:rFonts w:hint="default" w:ascii="宋体" w:hAnsi="宋体" w:eastAsia="宋体"/>
                <w:sz w:val="18"/>
                <w:szCs w:val="18"/>
                <w:lang w:val="en-US" w:eastAsia="zh-CN"/>
              </w:rPr>
              <w:t>最核心的产品标准</w:t>
            </w:r>
            <w:r>
              <w:rPr>
                <w:rFonts w:hint="eastAsia" w:ascii="宋体" w:hAnsi="宋体" w:eastAsia="宋体"/>
                <w:sz w:val="18"/>
                <w:szCs w:val="18"/>
                <w:lang w:val="en-US" w:eastAsia="zh-CN"/>
              </w:rPr>
              <w:t>。</w:t>
            </w:r>
          </w:p>
          <w:p w14:paraId="2A37124A">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在有害物质限量层面，强制性国家标准GB 309</w:t>
            </w:r>
            <w:bookmarkStart w:id="0" w:name="_GoBack"/>
            <w:bookmarkEnd w:id="0"/>
            <w:r>
              <w:rPr>
                <w:rFonts w:hint="default" w:ascii="宋体" w:hAnsi="宋体" w:eastAsia="宋体"/>
                <w:sz w:val="18"/>
                <w:szCs w:val="18"/>
                <w:lang w:val="en-US" w:eastAsia="zh-CN"/>
              </w:rPr>
              <w:t>81.1—2025《涂料中有害物质限量 第1部分：建筑涂料》于2026年6月1日实施，代替了原有的GB 18582—2020《建筑用墙面涂料中有害物质限量》和GB 38468—2019《室内地坪涂料中有害物质限量》，规定了建筑涂料中有害物质的容许限量及测试方法，涵盖甲醛、VOCs、重金属等污染物指标。</w:t>
            </w:r>
          </w:p>
          <w:p w14:paraId="0A378D31">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在功能检测方法层面，GB/T 21866—2025《涂膜抗病毒活性和抗菌性测定法》规定了涂膜抗菌性和抗病毒活性的测定方法，是抗菌抗病毒涂料功能验证的核心检测标准。行业标准HG/T 3950—2025《抗菌和抗病毒涂料》规定了抗菌和抗病毒涂料的分类、要求、试验方法及标志、包装和贮存，适用于具有抗细菌、抗霉菌、抗病毒功能的一种及一种以上功能的涂料，覆盖丙烯酸树脂类、环氧树脂类、聚氨酯类等成膜体系以及纳米银离子型、季铵盐型、光催化型等不同作用机理的产品，是抗菌抗病毒涂料产品评价的行业基准。JC/T 1074—2021《室内空气净化功能涂覆材料净化性能》（代替JC/T 1074—2008）规定了室内空气净化功能涂覆材料的分类、要求和试验方法，适用于室内空气净化用涂覆材料，涵盖甲醛净化效率及净化持久性的检测。</w:t>
            </w:r>
          </w:p>
          <w:p w14:paraId="6C2F30F2">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eastAsia" w:ascii="宋体" w:hAnsi="宋体" w:eastAsia="宋体"/>
                <w:sz w:val="18"/>
                <w:szCs w:val="18"/>
                <w:lang w:val="en-US" w:eastAsia="zh-CN"/>
              </w:rPr>
            </w:pPr>
            <w:r>
              <w:rPr>
                <w:rFonts w:hint="default" w:ascii="宋体" w:hAnsi="宋体" w:eastAsia="宋体"/>
                <w:sz w:val="18"/>
                <w:szCs w:val="18"/>
                <w:lang w:val="en-US" w:eastAsia="zh-CN"/>
              </w:rPr>
              <w:t>在使用说明书通用要求层面，</w:t>
            </w:r>
            <w:r>
              <w:rPr>
                <w:rFonts w:hint="eastAsia" w:ascii="宋体" w:hAnsi="宋体" w:eastAsia="宋体"/>
                <w:sz w:val="18"/>
                <w:szCs w:val="18"/>
                <w:lang w:val="en-US" w:eastAsia="zh-CN"/>
              </w:rPr>
              <w:t>JCT</w:t>
            </w:r>
            <w:r>
              <w:rPr>
                <w:rFonts w:hint="default" w:ascii="宋体" w:hAnsi="宋体" w:eastAsia="宋体"/>
                <w:sz w:val="18"/>
                <w:szCs w:val="18"/>
                <w:lang w:val="en-US" w:eastAsia="zh-CN"/>
              </w:rPr>
              <w:t xml:space="preserve"> </w:t>
            </w:r>
            <w:r>
              <w:rPr>
                <w:rFonts w:hint="eastAsia" w:ascii="宋体" w:hAnsi="宋体" w:eastAsia="宋体"/>
                <w:sz w:val="18"/>
                <w:szCs w:val="18"/>
                <w:lang w:val="en-US" w:eastAsia="zh-CN"/>
              </w:rPr>
              <w:t>2971</w:t>
            </w:r>
            <w:r>
              <w:rPr>
                <w:rFonts w:hint="default" w:ascii="宋体" w:hAnsi="宋体" w:eastAsia="宋体"/>
                <w:sz w:val="18"/>
                <w:szCs w:val="18"/>
                <w:lang w:val="en-US" w:eastAsia="zh-CN"/>
              </w:rPr>
              <w:t>—202</w:t>
            </w:r>
            <w:r>
              <w:rPr>
                <w:rFonts w:hint="eastAsia" w:ascii="宋体" w:hAnsi="宋体" w:eastAsia="宋体"/>
                <w:sz w:val="18"/>
                <w:szCs w:val="18"/>
                <w:lang w:val="en-US" w:eastAsia="zh-CN"/>
              </w:rPr>
              <w:t>6 《</w:t>
            </w:r>
            <w:r>
              <w:rPr>
                <w:rFonts w:hint="default" w:ascii="宋体" w:hAnsi="宋体" w:eastAsia="宋体"/>
                <w:sz w:val="18"/>
                <w:szCs w:val="18"/>
                <w:lang w:val="en-US" w:eastAsia="zh-CN"/>
              </w:rPr>
              <w:t>建材产品使用说明书 通用要求》于202</w:t>
            </w:r>
            <w:r>
              <w:rPr>
                <w:rFonts w:hint="eastAsia" w:ascii="宋体" w:hAnsi="宋体" w:eastAsia="宋体"/>
                <w:sz w:val="18"/>
                <w:szCs w:val="18"/>
                <w:lang w:val="en-US" w:eastAsia="zh-CN"/>
              </w:rPr>
              <w:t>6</w:t>
            </w:r>
            <w:r>
              <w:rPr>
                <w:rFonts w:hint="default" w:ascii="宋体" w:hAnsi="宋体" w:eastAsia="宋体"/>
                <w:sz w:val="18"/>
                <w:szCs w:val="18"/>
                <w:lang w:val="en-US" w:eastAsia="zh-CN"/>
              </w:rPr>
              <w:t>年11月</w:t>
            </w:r>
            <w:r>
              <w:rPr>
                <w:rFonts w:hint="eastAsia" w:ascii="宋体" w:hAnsi="宋体" w:eastAsia="宋体"/>
                <w:sz w:val="18"/>
                <w:szCs w:val="18"/>
                <w:lang w:val="en-US" w:eastAsia="zh-CN"/>
              </w:rPr>
              <w:t>1</w:t>
            </w:r>
            <w:r>
              <w:rPr>
                <w:rFonts w:hint="default" w:ascii="宋体" w:hAnsi="宋体" w:eastAsia="宋体"/>
                <w:sz w:val="18"/>
                <w:szCs w:val="18"/>
                <w:lang w:val="en-US" w:eastAsia="zh-CN"/>
              </w:rPr>
              <w:t>日实施，规定了建材产品使用说明书的基本要求、编制要求和主要构成，是当前我国指导建材产品使用说明书编制的唯一基础标准。以上标准共同构成了防治室内化学与微生物污染的乳胶漆产品使用说明书标准编制的技术基础</w:t>
            </w:r>
            <w:r>
              <w:rPr>
                <w:rFonts w:hint="eastAsia" w:ascii="宋体" w:hAnsi="宋体" w:eastAsia="宋体"/>
                <w:sz w:val="18"/>
                <w:szCs w:val="18"/>
                <w:lang w:val="en-US" w:eastAsia="zh-CN"/>
              </w:rPr>
              <w:t>。</w:t>
            </w:r>
          </w:p>
          <w:p w14:paraId="52088012">
            <w:pPr>
              <w:keepNext w:val="0"/>
              <w:keepLines w:val="0"/>
              <w:pageBreakBefore w:val="0"/>
              <w:widowControl w:val="0"/>
              <w:numPr>
                <w:ilvl w:val="0"/>
                <w:numId w:val="6"/>
              </w:numPr>
              <w:kinsoku/>
              <w:wordWrap/>
              <w:overflowPunct/>
              <w:topLinePunct w:val="0"/>
              <w:autoSpaceDE/>
              <w:autoSpaceDN/>
              <w:bidi w:val="0"/>
              <w:adjustRightInd/>
              <w:snapToGrid w:val="0"/>
              <w:spacing w:line="280" w:lineRule="exact"/>
              <w:ind w:left="0" w:leftChars="0" w:firstLine="361" w:firstLineChars="200"/>
              <w:textAlignment w:val="auto"/>
              <w:rPr>
                <w:rFonts w:hint="eastAsia" w:ascii="宋体" w:hAnsi="宋体" w:eastAsia="宋体"/>
                <w:b/>
                <w:bCs/>
                <w:sz w:val="18"/>
                <w:szCs w:val="18"/>
                <w:lang w:val="en-US" w:eastAsia="zh-CN"/>
              </w:rPr>
            </w:pPr>
            <w:r>
              <w:rPr>
                <w:rFonts w:hint="eastAsia" w:ascii="宋体" w:hAnsi="宋体" w:eastAsia="宋体"/>
                <w:b/>
                <w:bCs/>
                <w:sz w:val="18"/>
                <w:szCs w:val="18"/>
                <w:lang w:val="en-US" w:eastAsia="zh-CN"/>
              </w:rPr>
              <w:t>本标准与相关标准的关系</w:t>
            </w:r>
          </w:p>
          <w:p w14:paraId="674FB990">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本标准与上述相关标准之间形成“上下衔接、各有侧重”的关系。首先，本标准与</w:t>
            </w:r>
            <w:r>
              <w:rPr>
                <w:rFonts w:hint="eastAsia" w:ascii="宋体" w:hAnsi="宋体" w:eastAsia="宋体"/>
                <w:sz w:val="18"/>
                <w:szCs w:val="18"/>
                <w:lang w:val="en-US" w:eastAsia="zh-CN"/>
              </w:rPr>
              <w:t>JCT</w:t>
            </w:r>
            <w:r>
              <w:rPr>
                <w:rFonts w:hint="default" w:ascii="宋体" w:hAnsi="宋体" w:eastAsia="宋体"/>
                <w:sz w:val="18"/>
                <w:szCs w:val="18"/>
                <w:lang w:val="en-US" w:eastAsia="zh-CN"/>
              </w:rPr>
              <w:t xml:space="preserve"> </w:t>
            </w:r>
            <w:r>
              <w:rPr>
                <w:rFonts w:hint="eastAsia" w:ascii="宋体" w:hAnsi="宋体" w:eastAsia="宋体"/>
                <w:sz w:val="18"/>
                <w:szCs w:val="18"/>
                <w:lang w:val="en-US" w:eastAsia="zh-CN"/>
              </w:rPr>
              <w:t>2971</w:t>
            </w:r>
            <w:r>
              <w:rPr>
                <w:rFonts w:hint="default" w:ascii="宋体" w:hAnsi="宋体" w:eastAsia="宋体"/>
                <w:sz w:val="18"/>
                <w:szCs w:val="18"/>
                <w:lang w:val="en-US" w:eastAsia="zh-CN"/>
              </w:rPr>
              <w:t>—202</w:t>
            </w:r>
            <w:r>
              <w:rPr>
                <w:rFonts w:hint="eastAsia" w:ascii="宋体" w:hAnsi="宋体" w:eastAsia="宋体"/>
                <w:sz w:val="18"/>
                <w:szCs w:val="18"/>
                <w:lang w:val="en-US" w:eastAsia="zh-CN"/>
              </w:rPr>
              <w:t>6</w:t>
            </w:r>
            <w:r>
              <w:rPr>
                <w:rFonts w:hint="default" w:ascii="宋体" w:hAnsi="宋体" w:eastAsia="宋体"/>
                <w:sz w:val="18"/>
                <w:szCs w:val="18"/>
                <w:lang w:val="en-US" w:eastAsia="zh-CN"/>
              </w:rPr>
              <w:t>的关系为“具体产品对通用要求的细化和补充”。</w:t>
            </w:r>
            <w:r>
              <w:rPr>
                <w:rFonts w:hint="eastAsia" w:ascii="宋体" w:hAnsi="宋体" w:eastAsia="宋体"/>
                <w:sz w:val="18"/>
                <w:szCs w:val="18"/>
                <w:lang w:val="en-US" w:eastAsia="zh-CN"/>
              </w:rPr>
              <w:t>JCT</w:t>
            </w:r>
            <w:r>
              <w:rPr>
                <w:rFonts w:hint="default" w:ascii="宋体" w:hAnsi="宋体" w:eastAsia="宋体"/>
                <w:sz w:val="18"/>
                <w:szCs w:val="18"/>
                <w:lang w:val="en-US" w:eastAsia="zh-CN"/>
              </w:rPr>
              <w:t xml:space="preserve"> </w:t>
            </w:r>
            <w:r>
              <w:rPr>
                <w:rFonts w:hint="eastAsia" w:ascii="宋体" w:hAnsi="宋体" w:eastAsia="宋体"/>
                <w:sz w:val="18"/>
                <w:szCs w:val="18"/>
                <w:lang w:val="en-US" w:eastAsia="zh-CN"/>
              </w:rPr>
              <w:t>2971</w:t>
            </w:r>
            <w:r>
              <w:rPr>
                <w:rFonts w:hint="default" w:ascii="宋体" w:hAnsi="宋体" w:eastAsia="宋体"/>
                <w:sz w:val="18"/>
                <w:szCs w:val="18"/>
                <w:lang w:val="en-US" w:eastAsia="zh-CN"/>
              </w:rPr>
              <w:t>—202</w:t>
            </w:r>
            <w:r>
              <w:rPr>
                <w:rFonts w:hint="eastAsia" w:ascii="宋体" w:hAnsi="宋体" w:eastAsia="宋体"/>
                <w:sz w:val="18"/>
                <w:szCs w:val="18"/>
                <w:lang w:val="en-US" w:eastAsia="zh-CN"/>
              </w:rPr>
              <w:t>6</w:t>
            </w:r>
            <w:r>
              <w:rPr>
                <w:rFonts w:hint="default" w:ascii="宋体" w:hAnsi="宋体" w:eastAsia="宋体"/>
                <w:sz w:val="18"/>
                <w:szCs w:val="18"/>
                <w:lang w:val="en-US" w:eastAsia="zh-CN"/>
              </w:rPr>
              <w:t>作为建材产品使用说明书的通用性基础标准，从宏观层面规定了建材产品说明书编制的一般要求，不针对具体产品类型的特殊功能作出细化规定。本标准以</w:t>
            </w:r>
            <w:r>
              <w:rPr>
                <w:rFonts w:hint="eastAsia" w:ascii="宋体" w:hAnsi="宋体" w:eastAsia="宋体"/>
                <w:sz w:val="18"/>
                <w:szCs w:val="18"/>
                <w:lang w:val="en-US" w:eastAsia="zh-CN"/>
              </w:rPr>
              <w:t>JCT</w:t>
            </w:r>
            <w:r>
              <w:rPr>
                <w:rFonts w:hint="default" w:ascii="宋体" w:hAnsi="宋体" w:eastAsia="宋体"/>
                <w:sz w:val="18"/>
                <w:szCs w:val="18"/>
                <w:lang w:val="en-US" w:eastAsia="zh-CN"/>
              </w:rPr>
              <w:t xml:space="preserve"> </w:t>
            </w:r>
            <w:r>
              <w:rPr>
                <w:rFonts w:hint="eastAsia" w:ascii="宋体" w:hAnsi="宋体" w:eastAsia="宋体"/>
                <w:sz w:val="18"/>
                <w:szCs w:val="18"/>
                <w:lang w:val="en-US" w:eastAsia="zh-CN"/>
              </w:rPr>
              <w:t>2971</w:t>
            </w:r>
            <w:r>
              <w:rPr>
                <w:rFonts w:hint="default" w:ascii="宋体" w:hAnsi="宋体" w:eastAsia="宋体"/>
                <w:sz w:val="18"/>
                <w:szCs w:val="18"/>
                <w:lang w:val="en-US" w:eastAsia="zh-CN"/>
              </w:rPr>
              <w:t>—202</w:t>
            </w:r>
            <w:r>
              <w:rPr>
                <w:rFonts w:hint="eastAsia" w:ascii="宋体" w:hAnsi="宋体" w:eastAsia="宋体"/>
                <w:sz w:val="18"/>
                <w:szCs w:val="18"/>
                <w:lang w:val="en-US" w:eastAsia="zh-CN"/>
              </w:rPr>
              <w:t>6</w:t>
            </w:r>
            <w:r>
              <w:rPr>
                <w:rFonts w:hint="default" w:ascii="宋体" w:hAnsi="宋体" w:eastAsia="宋体"/>
                <w:sz w:val="18"/>
                <w:szCs w:val="18"/>
                <w:lang w:val="en-US" w:eastAsia="zh-CN"/>
              </w:rPr>
              <w:t>为基本框架，在此基础上针对防治室内化学与微生物污染的乳胶漆的功能特点和安全性要求，对说明书的内容构成和编制要求进行了专门化和精细化，将通用要求转化为适用于该特定产品类别的具体规范。</w:t>
            </w:r>
          </w:p>
          <w:p w14:paraId="7607277E">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default" w:ascii="宋体" w:hAnsi="宋体" w:eastAsia="宋体"/>
                <w:sz w:val="18"/>
                <w:szCs w:val="18"/>
                <w:lang w:val="en-US" w:eastAsia="zh-CN"/>
              </w:rPr>
            </w:pPr>
            <w:r>
              <w:rPr>
                <w:rFonts w:hint="default" w:ascii="宋体" w:hAnsi="宋体" w:eastAsia="宋体"/>
                <w:sz w:val="18"/>
                <w:szCs w:val="18"/>
                <w:lang w:val="en-US" w:eastAsia="zh-CN"/>
              </w:rPr>
              <w:t>其次，本标准与产品标准、有害物质限量标准和功能检测标准的关系为“消费指引对技术要求的应用转化”。GB/T 9755、GB 30981.1、HG/T 3950、JC/T 1074、GB/T 21866等标准侧重于产品本身的性能指标、有害物质限量及检测方法，属于生产端的技术规范，其内容专业性较强，一般用户难以直接理解和使用。本标准则将这些技术标准所规定的性能指标（如甲醛净化效率、抗菌率、抗病毒活性值等）作为说明书编制的依据，要求企业在说明书中以用户能够理解的方式呈现这些技术参数及其对应的检测依据，并为用户提供基于这些性能指标的施工、使用、养护和安全防护指导。因此，本标准是与上述产品标准和检测标准配套使用的应用性标准，解决了“检测数据如何转化为用户可操作信息”的问题。</w:t>
            </w:r>
          </w:p>
          <w:p w14:paraId="15F2051F">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1" w:firstLineChars="200"/>
              <w:textAlignment w:val="auto"/>
              <w:rPr>
                <w:rFonts w:hint="default" w:ascii="宋体" w:hAnsi="宋体" w:eastAsia="宋体"/>
                <w:b/>
                <w:bCs/>
                <w:sz w:val="18"/>
                <w:szCs w:val="18"/>
                <w:lang w:val="en-US" w:eastAsia="zh-CN"/>
              </w:rPr>
            </w:pPr>
            <w:r>
              <w:rPr>
                <w:rFonts w:hint="eastAsia" w:ascii="宋体" w:hAnsi="宋体" w:eastAsia="宋体"/>
                <w:b/>
                <w:bCs/>
                <w:sz w:val="18"/>
                <w:szCs w:val="18"/>
                <w:lang w:val="en-US" w:eastAsia="zh-CN"/>
              </w:rPr>
              <w:t>（3）本标准在标准体系中的位置</w:t>
            </w:r>
          </w:p>
          <w:p w14:paraId="2A1E5FA2">
            <w:pPr>
              <w:keepNext w:val="0"/>
              <w:keepLines w:val="0"/>
              <w:pageBreakBefore w:val="0"/>
              <w:widowControl w:val="0"/>
              <w:numPr>
                <w:ilvl w:val="0"/>
                <w:numId w:val="0"/>
              </w:numPr>
              <w:kinsoku/>
              <w:wordWrap/>
              <w:overflowPunct/>
              <w:topLinePunct w:val="0"/>
              <w:autoSpaceDE/>
              <w:autoSpaceDN/>
              <w:bidi w:val="0"/>
              <w:adjustRightInd/>
              <w:snapToGrid w:val="0"/>
              <w:spacing w:line="280" w:lineRule="exact"/>
              <w:ind w:leftChars="0" w:firstLine="360" w:firstLineChars="200"/>
              <w:textAlignment w:val="auto"/>
              <w:rPr>
                <w:rFonts w:hint="eastAsia" w:ascii="宋体" w:hAnsi="宋体" w:eastAsia="宋体"/>
                <w:sz w:val="18"/>
                <w:szCs w:val="18"/>
                <w:lang w:val="en-US" w:eastAsia="zh-CN"/>
              </w:rPr>
            </w:pPr>
            <w:r>
              <w:rPr>
                <w:rFonts w:hint="eastAsia" w:ascii="宋体" w:hAnsi="宋体" w:eastAsia="宋体"/>
                <w:sz w:val="18"/>
                <w:szCs w:val="18"/>
                <w:lang w:val="en-US" w:eastAsia="zh-CN"/>
              </w:rPr>
              <w:t>本体系在标准体系中的位置属于“建筑装饰装修材料”大类下的基础通用标准，是提升行业质量、引导绿色健康发展的关键环节。</w:t>
            </w:r>
          </w:p>
          <w:p w14:paraId="56327E10">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0B9FDBB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lang w:val="en-US" w:eastAsia="zh-CN"/>
              </w:rPr>
            </w:pPr>
          </w:p>
          <w:p w14:paraId="5C00DCD2">
            <w:pPr>
              <w:numPr>
                <w:ilvl w:val="0"/>
                <w:numId w:val="4"/>
              </w:numPr>
              <w:snapToGrid w:val="0"/>
              <w:spacing w:line="360" w:lineRule="auto"/>
              <w:ind w:left="0" w:leftChars="0" w:firstLine="0" w:firstLineChars="0"/>
              <w:rPr>
                <w:rFonts w:hint="eastAsia" w:ascii="宋体" w:hAnsi="宋体" w:eastAsia="宋体"/>
                <w:b/>
                <w:bCs/>
                <w:sz w:val="18"/>
                <w:szCs w:val="18"/>
                <w:u w:val="single"/>
              </w:rPr>
            </w:pPr>
            <w:r>
              <w:rPr>
                <w:rFonts w:hint="eastAsia" w:ascii="宋体" w:hAnsi="宋体" w:eastAsia="宋体"/>
                <w:b/>
                <w:bCs/>
                <w:sz w:val="18"/>
                <w:szCs w:val="18"/>
                <w:u w:val="single"/>
              </w:rPr>
              <w:t>指出是否发现有知识产权的问题。</w:t>
            </w:r>
          </w:p>
          <w:p w14:paraId="624039B6">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leftChars="0" w:firstLine="360" w:firstLineChars="200"/>
              <w:textAlignment w:val="auto"/>
              <w:rPr>
                <w:rFonts w:hint="default" w:ascii="宋体" w:hAnsi="宋体" w:eastAsia="宋体"/>
                <w:sz w:val="18"/>
                <w:szCs w:val="18"/>
                <w:u w:val="none"/>
                <w:lang w:val="en-US" w:eastAsia="zh-CN"/>
              </w:rPr>
            </w:pPr>
            <w:r>
              <w:rPr>
                <w:rFonts w:hint="eastAsia" w:ascii="宋体" w:hAnsi="宋体" w:eastAsia="宋体"/>
                <w:sz w:val="18"/>
                <w:szCs w:val="18"/>
                <w:u w:val="none"/>
                <w:lang w:val="en-US" w:eastAsia="zh-CN"/>
              </w:rPr>
              <w:t>经查阅不涉及专利。</w:t>
            </w:r>
          </w:p>
        </w:tc>
      </w:tr>
      <w:tr w14:paraId="0267A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2" w:hRule="atLeast"/>
          <w:jc w:val="center"/>
        </w:trPr>
        <w:tc>
          <w:tcPr>
            <w:tcW w:w="2167" w:type="dxa"/>
            <w:vAlign w:val="center"/>
          </w:tcPr>
          <w:p w14:paraId="246FFCDC">
            <w:pPr>
              <w:pStyle w:val="5"/>
              <w:tabs>
                <w:tab w:val="clear" w:pos="4153"/>
                <w:tab w:val="clear" w:pos="8306"/>
              </w:tabs>
              <w:spacing w:line="360" w:lineRule="auto"/>
              <w:rPr>
                <w:rFonts w:ascii="宋体" w:hAnsi="宋体" w:eastAsia="宋体"/>
              </w:rPr>
            </w:pPr>
            <w:r>
              <w:rPr>
                <w:rFonts w:hint="eastAsia" w:ascii="宋体" w:hAnsi="宋体" w:eastAsia="宋体"/>
              </w:rPr>
              <w:t>牵头单位</w:t>
            </w:r>
          </w:p>
        </w:tc>
        <w:tc>
          <w:tcPr>
            <w:tcW w:w="3972" w:type="dxa"/>
            <w:gridSpan w:val="5"/>
            <w:vAlign w:val="center"/>
          </w:tcPr>
          <w:p w14:paraId="18971973">
            <w:pPr>
              <w:snapToGrid w:val="0"/>
              <w:spacing w:line="360" w:lineRule="auto"/>
              <w:jc w:val="center"/>
              <w:rPr>
                <w:rFonts w:ascii="宋体" w:hAnsi="宋体" w:eastAsia="宋体"/>
                <w:sz w:val="18"/>
                <w:szCs w:val="18"/>
              </w:rPr>
            </w:pPr>
          </w:p>
          <w:p w14:paraId="62674B69">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14:paraId="182AB16E">
            <w:pPr>
              <w:snapToGrid w:val="0"/>
              <w:spacing w:line="360" w:lineRule="auto"/>
              <w:jc w:val="center"/>
              <w:rPr>
                <w:rFonts w:ascii="宋体" w:hAnsi="宋体" w:eastAsia="宋体"/>
                <w:sz w:val="18"/>
                <w:szCs w:val="18"/>
              </w:rPr>
            </w:pPr>
            <w:r>
              <w:rPr>
                <w:rFonts w:hint="eastAsia" w:ascii="宋体" w:hAnsi="宋体" w:eastAsia="宋体"/>
                <w:sz w:val="18"/>
                <w:szCs w:val="18"/>
              </w:rPr>
              <w:t>归口管理部门</w:t>
            </w:r>
          </w:p>
        </w:tc>
        <w:tc>
          <w:tcPr>
            <w:tcW w:w="1900" w:type="dxa"/>
            <w:vAlign w:val="center"/>
          </w:tcPr>
          <w:p w14:paraId="6A125936">
            <w:pPr>
              <w:snapToGrid w:val="0"/>
              <w:spacing w:line="360" w:lineRule="auto"/>
              <w:rPr>
                <w:rFonts w:ascii="宋体" w:hAnsi="宋体" w:eastAsia="宋体"/>
                <w:sz w:val="18"/>
                <w:szCs w:val="18"/>
              </w:rPr>
            </w:pPr>
          </w:p>
          <w:p w14:paraId="79A663D1">
            <w:pPr>
              <w:snapToGrid w:val="0"/>
              <w:rPr>
                <w:rFonts w:ascii="宋体" w:hAnsi="宋体" w:eastAsia="宋体"/>
                <w:sz w:val="18"/>
                <w:szCs w:val="18"/>
              </w:rPr>
            </w:pPr>
            <w:r>
              <w:rPr>
                <w:rFonts w:hint="eastAsia" w:ascii="宋体" w:hAnsi="宋体" w:eastAsia="宋体"/>
                <w:sz w:val="18"/>
                <w:szCs w:val="18"/>
              </w:rPr>
              <w:t>（签字、盖公章）</w:t>
            </w:r>
          </w:p>
          <w:p w14:paraId="64E6BA93">
            <w:pPr>
              <w:snapToGrid w:val="0"/>
              <w:rPr>
                <w:rFonts w:ascii="宋体" w:hAnsi="宋体" w:eastAsia="宋体"/>
                <w:sz w:val="18"/>
                <w:szCs w:val="18"/>
              </w:rPr>
            </w:pPr>
            <w:r>
              <w:rPr>
                <w:rFonts w:hint="eastAsia" w:ascii="宋体" w:hAnsi="宋体" w:eastAsia="宋体"/>
                <w:sz w:val="18"/>
                <w:szCs w:val="18"/>
              </w:rPr>
              <w:t xml:space="preserve">    月     日</w:t>
            </w:r>
          </w:p>
        </w:tc>
      </w:tr>
    </w:tbl>
    <w:p w14:paraId="7A5CB49F">
      <w:pPr>
        <w:snapToGrid w:val="0"/>
        <w:spacing w:beforeLines="5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14:paraId="65BFAE09">
      <w:pPr>
        <w:snapToGrid w:val="0"/>
        <w:ind w:firstLine="503" w:firstLineChars="280"/>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14:paraId="67C3A64D">
      <w:pPr>
        <w:snapToGrid w:val="0"/>
        <w:ind w:left="448" w:leftChars="160" w:firstLine="54" w:firstLineChars="30"/>
        <w:rPr>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14:paraId="744BA66C">
      <w:pPr>
        <w:snapToGrid w:val="0"/>
        <w:rPr>
          <w:sz w:val="18"/>
          <w:szCs w:val="18"/>
        </w:rPr>
      </w:pPr>
    </w:p>
    <w:p w14:paraId="66926D9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50E935"/>
    <w:multiLevelType w:val="singleLevel"/>
    <w:tmpl w:val="C550E935"/>
    <w:lvl w:ilvl="0" w:tentative="0">
      <w:start w:val="1"/>
      <w:numFmt w:val="decimal"/>
      <w:suff w:val="nothing"/>
      <w:lvlText w:val="（%1）"/>
      <w:lvlJc w:val="left"/>
    </w:lvl>
  </w:abstractNum>
  <w:abstractNum w:abstractNumId="1">
    <w:nsid w:val="0C701661"/>
    <w:multiLevelType w:val="singleLevel"/>
    <w:tmpl w:val="0C701661"/>
    <w:lvl w:ilvl="0" w:tentative="0">
      <w:start w:val="1"/>
      <w:numFmt w:val="decimal"/>
      <w:suff w:val="space"/>
      <w:lvlText w:val="%1."/>
      <w:lvlJc w:val="left"/>
    </w:lvl>
  </w:abstractNum>
  <w:abstractNum w:abstractNumId="2">
    <w:nsid w:val="0FC943DC"/>
    <w:multiLevelType w:val="singleLevel"/>
    <w:tmpl w:val="0FC943DC"/>
    <w:lvl w:ilvl="0" w:tentative="0">
      <w:start w:val="1"/>
      <w:numFmt w:val="decimal"/>
      <w:suff w:val="nothing"/>
      <w:lvlText w:val="%1）"/>
      <w:lvlJc w:val="left"/>
    </w:lvl>
  </w:abstractNum>
  <w:abstractNum w:abstractNumId="3">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0"/>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534F51A4"/>
    <w:multiLevelType w:val="singleLevel"/>
    <w:tmpl w:val="534F51A4"/>
    <w:lvl w:ilvl="0" w:tentative="0">
      <w:start w:val="1"/>
      <w:numFmt w:val="decimal"/>
      <w:suff w:val="nothing"/>
      <w:lvlText w:val="（%1）"/>
      <w:lvlJc w:val="left"/>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8"/>
      <w:suff w:val="nothing"/>
      <w:lvlText w:val="%1%2　"/>
      <w:lvlJc w:val="left"/>
      <w:pPr>
        <w:ind w:left="0" w:firstLine="0"/>
      </w:pPr>
      <w:rPr>
        <w:rFonts w:hint="eastAsia" w:ascii="黑体" w:eastAsia="黑体"/>
        <w:b w:val="0"/>
        <w:i w:val="0"/>
        <w:sz w:val="21"/>
      </w:rPr>
    </w:lvl>
    <w:lvl w:ilvl="2" w:tentative="0">
      <w:start w:val="1"/>
      <w:numFmt w:val="decimal"/>
      <w:pStyle w:val="17"/>
      <w:suff w:val="nothing"/>
      <w:lvlText w:val="%1%2.%3　"/>
      <w:lvlJc w:val="left"/>
      <w:pPr>
        <w:ind w:left="6095"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ligatures w14:val="none"/>
        <w14:numForm w14:val="default"/>
        <w14:numSpacing w14:val="default"/>
      </w:rPr>
    </w:lvl>
    <w:lvl w:ilvl="3" w:tentative="0">
      <w:start w:val="1"/>
      <w:numFmt w:val="decimal"/>
      <w:suff w:val="nothing"/>
      <w:lvlText w:val="%1%2.%3.%4　"/>
      <w:lvlJc w:val="left"/>
      <w:pPr>
        <w:ind w:left="2835"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723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5"/>
  </w:num>
  <w:num w:numId="2">
    <w:abstractNumId w:val="3"/>
  </w:num>
  <w:num w:numId="3">
    <w:abstractNumId w:val="2"/>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499"/>
    <w:rsid w:val="00314295"/>
    <w:rsid w:val="00631028"/>
    <w:rsid w:val="00747499"/>
    <w:rsid w:val="00A618D0"/>
    <w:rsid w:val="00E03E1D"/>
    <w:rsid w:val="00F7264B"/>
    <w:rsid w:val="04041965"/>
    <w:rsid w:val="076F17EB"/>
    <w:rsid w:val="07A22BB8"/>
    <w:rsid w:val="086C5D2B"/>
    <w:rsid w:val="0F9D2C6D"/>
    <w:rsid w:val="0FB8533B"/>
    <w:rsid w:val="17835CBE"/>
    <w:rsid w:val="1C224C26"/>
    <w:rsid w:val="21415B4F"/>
    <w:rsid w:val="29325D7D"/>
    <w:rsid w:val="29F85218"/>
    <w:rsid w:val="2D34352C"/>
    <w:rsid w:val="31083F93"/>
    <w:rsid w:val="31B373DB"/>
    <w:rsid w:val="33DF45BF"/>
    <w:rsid w:val="36171DC5"/>
    <w:rsid w:val="38BD49C5"/>
    <w:rsid w:val="39822409"/>
    <w:rsid w:val="39BA4D27"/>
    <w:rsid w:val="3B5953EB"/>
    <w:rsid w:val="3B691AD2"/>
    <w:rsid w:val="43536B83"/>
    <w:rsid w:val="4ABA40F8"/>
    <w:rsid w:val="52461E2B"/>
    <w:rsid w:val="52BB7F3F"/>
    <w:rsid w:val="5A0233C6"/>
    <w:rsid w:val="5AFD43A2"/>
    <w:rsid w:val="5B5E462C"/>
    <w:rsid w:val="5E7C6EF9"/>
    <w:rsid w:val="616E30EF"/>
    <w:rsid w:val="61A11A3C"/>
    <w:rsid w:val="62FB0777"/>
    <w:rsid w:val="65FE0C02"/>
    <w:rsid w:val="6A94006A"/>
    <w:rsid w:val="757D1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28"/>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w:basedOn w:val="1"/>
    <w:qFormat/>
    <w:uiPriority w:val="99"/>
    <w:pPr>
      <w:autoSpaceDE w:val="0"/>
      <w:autoSpaceDN w:val="0"/>
      <w:adjustRightInd w:val="0"/>
      <w:ind w:left="118"/>
      <w:jc w:val="left"/>
    </w:pPr>
    <w:rPr>
      <w:rFonts w:ascii="宋体" w:cs="宋体"/>
      <w:kern w:val="0"/>
      <w:szCs w:val="21"/>
    </w:rPr>
  </w:style>
  <w:style w:type="paragraph" w:styleId="4">
    <w:name w:val="footer"/>
    <w:basedOn w:val="1"/>
    <w:link w:val="12"/>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semiHidden/>
    <w:unhideWhenUsed/>
    <w:qFormat/>
    <w:uiPriority w:val="99"/>
    <w:rPr>
      <w:sz w:val="24"/>
    </w:rPr>
  </w:style>
  <w:style w:type="character" w:styleId="9">
    <w:name w:val="Strong"/>
    <w:basedOn w:val="8"/>
    <w:qFormat/>
    <w:uiPriority w:val="22"/>
    <w:rPr>
      <w:b/>
    </w:rPr>
  </w:style>
  <w:style w:type="character" w:styleId="10">
    <w:name w:val="Hyperlink"/>
    <w:basedOn w:val="8"/>
    <w:semiHidden/>
    <w:unhideWhenUsed/>
    <w:qFormat/>
    <w:uiPriority w:val="99"/>
    <w:rPr>
      <w:color w:val="0000FF"/>
      <w:u w:val="single"/>
    </w:rPr>
  </w:style>
  <w:style w:type="character" w:customStyle="1" w:styleId="11">
    <w:name w:val="页眉 Char"/>
    <w:basedOn w:val="8"/>
    <w:link w:val="5"/>
    <w:qFormat/>
    <w:uiPriority w:val="0"/>
    <w:rPr>
      <w:sz w:val="18"/>
      <w:szCs w:val="18"/>
    </w:rPr>
  </w:style>
  <w:style w:type="character" w:customStyle="1" w:styleId="12">
    <w:name w:val="页脚 Char"/>
    <w:basedOn w:val="8"/>
    <w:link w:val="4"/>
    <w:semiHidden/>
    <w:qFormat/>
    <w:uiPriority w:val="99"/>
    <w:rPr>
      <w:sz w:val="18"/>
      <w:szCs w:val="18"/>
    </w:rPr>
  </w:style>
  <w:style w:type="paragraph" w:customStyle="1" w:styleId="1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4">
    <w:name w:val="目次、标准名称标题"/>
    <w:basedOn w:val="1"/>
    <w:next w:val="1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7">
    <w:name w:val="标准文件_一级条标题"/>
    <w:basedOn w:val="18"/>
    <w:next w:val="19"/>
    <w:qFormat/>
    <w:uiPriority w:val="0"/>
    <w:pPr>
      <w:numPr>
        <w:ilvl w:val="2"/>
      </w:numPr>
      <w:spacing w:before="50" w:beforeLines="50" w:after="50" w:afterLines="50"/>
      <w:ind w:left="0"/>
      <w:outlineLvl w:val="1"/>
    </w:pPr>
  </w:style>
  <w:style w:type="paragraph" w:customStyle="1" w:styleId="18">
    <w:name w:val="标准文件_章标题"/>
    <w:next w:val="19"/>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一级条标题"/>
    <w:next w:val="1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5704</Words>
  <Characters>6202</Characters>
  <Lines>4</Lines>
  <Paragraphs>1</Paragraphs>
  <TotalTime>3</TotalTime>
  <ScaleCrop>false</ScaleCrop>
  <LinksUpToDate>false</LinksUpToDate>
  <CharactersWithSpaces>6284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2018-05-31T09:17:00Z</dcterms:created>
  <dc:creator>bz</dc:creator>
  <cp:lastModifiedBy>刘蕊蕊</cp:lastModifiedBy>
  <dcterms:modified xsi:type="dcterms:W3CDTF">2026-06-26T08:35:14Z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eyJoZGlkIjoiZWFkNmEyNGI4NDEzMGMxZjI4YzExODVhY2VjNzJiN2EiLCJ1c2VySWQiOiIxMjY1ODEzNjU2In0=</vt:lpwstr>
  </property>
  <property fmtid="{D5CDD505-2E9C-101B-9397-08002B2CF9AE}" pid="3" name="KSOProductBuildVer">
    <vt:lpwstr>2052-12.1.0.26895</vt:lpwstr>
  </property>
  <property fmtid="{D5CDD505-2E9C-101B-9397-08002B2CF9AE}" pid="4" name="ICV">
    <vt:lpwstr>596CA8CF9E94443893C9BC8C7F4949E8_13</vt:lpwstr>
  </property>
</Properties>
</file>